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6A5064FD"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571279">
        <w:rPr>
          <w:bCs/>
          <w:noProof w:val="0"/>
          <w:sz w:val="24"/>
          <w:szCs w:val="24"/>
        </w:rPr>
        <w:t>2</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20</w:t>
      </w:r>
      <w:r w:rsidR="00974D83">
        <w:rPr>
          <w:bCs/>
          <w:noProof w:val="0"/>
          <w:sz w:val="24"/>
          <w:szCs w:val="24"/>
        </w:rPr>
        <w:t>09554</w:t>
      </w:r>
      <w:bookmarkStart w:id="0" w:name="_GoBack"/>
      <w:bookmarkEnd w:id="0"/>
    </w:p>
    <w:p w14:paraId="11776FA6" w14:textId="5FC87E91"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696821">
        <w:rPr>
          <w:rFonts w:eastAsia="SimSun"/>
          <w:bCs/>
          <w:sz w:val="24"/>
          <w:szCs w:val="24"/>
          <w:lang w:eastAsia="zh-CN"/>
        </w:rPr>
        <w:t>02</w:t>
      </w:r>
      <w:r w:rsidR="006574C0" w:rsidRPr="006574C0">
        <w:rPr>
          <w:rFonts w:eastAsia="SimSun"/>
          <w:bCs/>
          <w:sz w:val="24"/>
          <w:szCs w:val="24"/>
          <w:lang w:eastAsia="zh-CN"/>
        </w:rPr>
        <w:t xml:space="preserve"> – </w:t>
      </w:r>
      <w:r w:rsidR="00696821">
        <w:rPr>
          <w:rFonts w:eastAsia="SimSun"/>
          <w:bCs/>
          <w:sz w:val="24"/>
          <w:szCs w:val="24"/>
          <w:lang w:eastAsia="zh-CN"/>
        </w:rPr>
        <w:t>13</w:t>
      </w:r>
      <w:r w:rsidR="006574C0" w:rsidRPr="006574C0">
        <w:rPr>
          <w:rFonts w:eastAsia="SimSun"/>
          <w:bCs/>
          <w:sz w:val="24"/>
          <w:szCs w:val="24"/>
          <w:lang w:eastAsia="zh-CN"/>
        </w:rPr>
        <w:t xml:space="preserve"> </w:t>
      </w:r>
      <w:r w:rsidR="00696821">
        <w:rPr>
          <w:rFonts w:eastAsia="SimSun"/>
          <w:bCs/>
          <w:sz w:val="24"/>
          <w:szCs w:val="24"/>
          <w:lang w:eastAsia="zh-CN"/>
        </w:rPr>
        <w:t>November</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DF072B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D181A">
        <w:rPr>
          <w:rFonts w:cs="Arial"/>
          <w:b/>
          <w:bCs/>
          <w:sz w:val="24"/>
        </w:rPr>
        <w:t>6.8.2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5CFC754"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71582">
        <w:rPr>
          <w:rFonts w:ascii="Arial" w:hAnsi="Arial" w:cs="Arial"/>
          <w:b/>
          <w:bCs/>
          <w:sz w:val="24"/>
        </w:rPr>
        <w:t>Direct SCell activation UE capabili</w:t>
      </w:r>
      <w:r w:rsidR="00803C2F">
        <w:rPr>
          <w:rFonts w:ascii="Arial" w:hAnsi="Arial" w:cs="Arial"/>
          <w:b/>
          <w:bCs/>
          <w:sz w:val="24"/>
        </w:rPr>
        <w:t>ty</w:t>
      </w:r>
      <w:r w:rsidR="00DF1AB2" w:rsidRPr="00DF1AB2">
        <w:rPr>
          <w:rFonts w:ascii="Arial" w:hAnsi="Arial" w:cs="Arial"/>
          <w:b/>
          <w:bCs/>
          <w:sz w:val="24"/>
        </w:rPr>
        <w:t xml:space="preserve"> </w:t>
      </w:r>
    </w:p>
    <w:p w14:paraId="1F147C23" w14:textId="5878EEA3"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E29DC" w:rsidRPr="003E29DC">
        <w:rPr>
          <w:rFonts w:ascii="Arial" w:hAnsi="Arial" w:cs="Arial"/>
          <w:b/>
          <w:bCs/>
          <w:sz w:val="24"/>
        </w:rPr>
        <w:t>LTE_euCA-Core</w:t>
      </w:r>
      <w:r w:rsidR="008673AC">
        <w:rPr>
          <w:rFonts w:ascii="Arial" w:hAnsi="Arial" w:cs="Arial"/>
          <w:b/>
          <w:bCs/>
          <w:sz w:val="24"/>
        </w:rPr>
        <w:t xml:space="preserve">, </w:t>
      </w:r>
      <w:r w:rsidR="008673AC" w:rsidRPr="008673AC">
        <w:rPr>
          <w:rFonts w:ascii="Arial" w:hAnsi="Arial" w:cs="Arial"/>
          <w:b/>
          <w:bCs/>
          <w:sz w:val="24"/>
        </w:rPr>
        <w:t>LTE_NR_DC_CA_enh-Core</w:t>
      </w:r>
      <w:r>
        <w:rPr>
          <w:rFonts w:ascii="Arial" w:hAnsi="Arial" w:cs="Arial"/>
          <w:b/>
          <w:bCs/>
          <w:sz w:val="24"/>
        </w:rPr>
        <w:t xml:space="preserve">- Release </w:t>
      </w:r>
      <w:r w:rsidR="00DF1AB2">
        <w:rPr>
          <w:rFonts w:ascii="Arial" w:hAnsi="Arial" w:cs="Arial"/>
          <w:b/>
          <w:bCs/>
          <w:sz w:val="24"/>
        </w:rPr>
        <w:t>15</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9697C95" w14:textId="276F40F5" w:rsidR="002163B4" w:rsidRDefault="00F71582" w:rsidP="00A209D6">
      <w:r>
        <w:t>Following topic was left FFS in last RAN2 meeting:</w:t>
      </w:r>
    </w:p>
    <w:p w14:paraId="2F6A08AD" w14:textId="77777777" w:rsidR="00F71582" w:rsidRPr="0035733C" w:rsidRDefault="00F71582" w:rsidP="00F71582">
      <w:pPr>
        <w:pStyle w:val="Comments"/>
      </w:pPr>
      <w:r>
        <w:t xml:space="preserve">DCCA-specific UE capability aspects: </w:t>
      </w:r>
    </w:p>
    <w:p w14:paraId="11DBB1B0" w14:textId="77777777" w:rsidR="00F71582" w:rsidRDefault="00974D83" w:rsidP="00F71582">
      <w:pPr>
        <w:pStyle w:val="Doc-title"/>
      </w:pPr>
      <w:hyperlink r:id="rId13" w:history="1">
        <w:r w:rsidR="00F71582">
          <w:rPr>
            <w:rStyle w:val="Hyperlink"/>
          </w:rPr>
          <w:t>R2-2006562</w:t>
        </w:r>
      </w:hyperlink>
      <w:r w:rsidR="00F71582">
        <w:tab/>
        <w:t>CR to 36.306 on UE capability of direct SCell activation</w:t>
      </w:r>
      <w:r w:rsidR="00F71582">
        <w:tab/>
        <w:t>Qualcomm Incorporated</w:t>
      </w:r>
      <w:r w:rsidR="00F71582">
        <w:tab/>
        <w:t>CR</w:t>
      </w:r>
      <w:r w:rsidR="00F71582">
        <w:tab/>
        <w:t>Rel-16</w:t>
      </w:r>
      <w:r w:rsidR="00F71582">
        <w:tab/>
        <w:t>36.306</w:t>
      </w:r>
      <w:r w:rsidR="00F71582">
        <w:tab/>
        <w:t>16.1.0</w:t>
      </w:r>
      <w:r w:rsidR="00F71582">
        <w:tab/>
        <w:t>1776</w:t>
      </w:r>
      <w:r w:rsidR="00F71582">
        <w:tab/>
        <w:t>-</w:t>
      </w:r>
      <w:r w:rsidR="00F71582">
        <w:tab/>
        <w:t>F</w:t>
      </w:r>
      <w:r w:rsidR="00F71582">
        <w:tab/>
        <w:t>LTE_NR_DC_CA_enh-Core</w:t>
      </w:r>
    </w:p>
    <w:p w14:paraId="343C6270" w14:textId="77777777" w:rsidR="00F71582" w:rsidRPr="0035733C" w:rsidRDefault="00F71582" w:rsidP="00F71582">
      <w:pPr>
        <w:pStyle w:val="Doc-text2"/>
        <w:rPr>
          <w:i/>
          <w:iCs/>
        </w:rPr>
      </w:pPr>
      <w:r w:rsidRPr="0035733C">
        <w:rPr>
          <w:i/>
          <w:iCs/>
        </w:rPr>
        <w:t>(moved from 6.8.3.1)</w:t>
      </w:r>
    </w:p>
    <w:p w14:paraId="0B9930B1" w14:textId="77777777" w:rsidR="00F71582" w:rsidRDefault="00974D83" w:rsidP="00F71582">
      <w:pPr>
        <w:pStyle w:val="Doc-title"/>
      </w:pPr>
      <w:hyperlink r:id="rId14" w:history="1">
        <w:r w:rsidR="00F71582">
          <w:rPr>
            <w:rStyle w:val="Hyperlink"/>
          </w:rPr>
          <w:t>R2-2006563</w:t>
        </w:r>
      </w:hyperlink>
      <w:r w:rsidR="00F71582">
        <w:tab/>
        <w:t>CR to 36.331 on UE capability of direct SCell activation</w:t>
      </w:r>
      <w:r w:rsidR="00F71582">
        <w:tab/>
        <w:t>Qualcomm Incorporated</w:t>
      </w:r>
      <w:r w:rsidR="00F71582">
        <w:tab/>
        <w:t>CR</w:t>
      </w:r>
      <w:r w:rsidR="00F71582">
        <w:tab/>
        <w:t>Rel-16</w:t>
      </w:r>
      <w:r w:rsidR="00F71582">
        <w:tab/>
        <w:t>36.331</w:t>
      </w:r>
      <w:r w:rsidR="00F71582">
        <w:tab/>
        <w:t>16.1.1</w:t>
      </w:r>
      <w:r w:rsidR="00F71582">
        <w:tab/>
        <w:t>4348</w:t>
      </w:r>
      <w:r w:rsidR="00F71582">
        <w:tab/>
        <w:t>-</w:t>
      </w:r>
      <w:r w:rsidR="00F71582">
        <w:tab/>
        <w:t>F</w:t>
      </w:r>
      <w:r w:rsidR="00F71582">
        <w:tab/>
        <w:t>LTE_NR_DC_CA_enh-Core</w:t>
      </w:r>
    </w:p>
    <w:p w14:paraId="0EEDAD27" w14:textId="77777777" w:rsidR="00F71582" w:rsidRDefault="00F71582" w:rsidP="00F71582">
      <w:pPr>
        <w:pStyle w:val="Doc-text2"/>
        <w:rPr>
          <w:i/>
          <w:iCs/>
        </w:rPr>
      </w:pPr>
      <w:r w:rsidRPr="0035733C">
        <w:rPr>
          <w:i/>
          <w:iCs/>
        </w:rPr>
        <w:t>(moved from 6.8.3.1)</w:t>
      </w:r>
    </w:p>
    <w:p w14:paraId="4F186325" w14:textId="77777777" w:rsidR="00F71582" w:rsidRDefault="00F71582" w:rsidP="00F71582">
      <w:pPr>
        <w:pStyle w:val="Doc-text2"/>
        <w:rPr>
          <w:i/>
          <w:iCs/>
        </w:rPr>
      </w:pPr>
    </w:p>
    <w:p w14:paraId="75A06232" w14:textId="77777777" w:rsidR="00F71582" w:rsidRDefault="00F71582" w:rsidP="00F71582">
      <w:pPr>
        <w:pStyle w:val="Doc-text2"/>
      </w:pPr>
      <w:r w:rsidRPr="00B2116F">
        <w:rPr>
          <w:highlight w:val="yellow"/>
        </w:rPr>
        <w:t>TBD whether directSCellActivation-r15 can be applied also for the SCG SCell case.</w:t>
      </w:r>
    </w:p>
    <w:p w14:paraId="24E41D9D" w14:textId="77777777" w:rsidR="00F71582" w:rsidRDefault="00F71582" w:rsidP="00F71582">
      <w:pPr>
        <w:pStyle w:val="Doc-text2"/>
      </w:pPr>
      <w:r>
        <w:t xml:space="preserve">- </w:t>
      </w:r>
      <w:r>
        <w:tab/>
        <w:t>QC thinks this was introduced for euCA and not NE-DC. Nokia wonders how we can separate if it doesn’t exist for LTE.</w:t>
      </w:r>
    </w:p>
    <w:p w14:paraId="5E50D6D7" w14:textId="77777777" w:rsidR="00F71582" w:rsidRPr="00304E45" w:rsidRDefault="00F71582" w:rsidP="00F71582">
      <w:pPr>
        <w:pStyle w:val="Agreement"/>
      </w:pPr>
      <w:r w:rsidRPr="00304E45">
        <w:t xml:space="preserve">FFS whether directSCellActivation-r15 can be applied also for the NE-DC SCG SCell case. </w:t>
      </w:r>
    </w:p>
    <w:p w14:paraId="5E4EE8E5" w14:textId="77777777" w:rsidR="00F71582" w:rsidRPr="00304E45" w:rsidRDefault="00F71582" w:rsidP="00F71582">
      <w:pPr>
        <w:pStyle w:val="Agreement"/>
      </w:pPr>
      <w:r w:rsidRPr="00304E45">
        <w:t>Postponed</w:t>
      </w:r>
    </w:p>
    <w:p w14:paraId="721BCBE5" w14:textId="14497D86" w:rsidR="00F71582" w:rsidRDefault="00F71582" w:rsidP="00A209D6"/>
    <w:p w14:paraId="1ACE9725" w14:textId="0DDD2ED1" w:rsidR="00F71582" w:rsidRPr="006E13D1" w:rsidRDefault="00F71582" w:rsidP="00A209D6">
      <w:r>
        <w:t>In this paper we discuss this issue.</w:t>
      </w:r>
    </w:p>
    <w:p w14:paraId="2BBFF540" w14:textId="1D670469" w:rsidR="00A209D6" w:rsidRDefault="00A209D6" w:rsidP="00A209D6">
      <w:pPr>
        <w:pStyle w:val="Heading1"/>
      </w:pPr>
      <w:r w:rsidRPr="006E13D1">
        <w:t>2</w:t>
      </w:r>
      <w:r w:rsidRPr="006E13D1">
        <w:tab/>
      </w:r>
      <w:r w:rsidR="00F71582">
        <w:t>Direct SCell activation capability</w:t>
      </w:r>
    </w:p>
    <w:p w14:paraId="72A0DC24" w14:textId="58FDE9C2" w:rsidR="00F71582" w:rsidRDefault="002A4AC1" w:rsidP="00F71582">
      <w:r>
        <w:t>In LTE we have capability for direct SCell activation introduced in release 15:</w:t>
      </w:r>
    </w:p>
    <w:p w14:paraId="6CB99B88" w14:textId="77777777" w:rsidR="002A4AC1" w:rsidRPr="008673AC" w:rsidRDefault="002A4AC1" w:rsidP="002A4AC1">
      <w:pPr>
        <w:pStyle w:val="Heading4"/>
        <w:rPr>
          <w:i/>
          <w:iCs/>
          <w:lang w:eastAsia="ja-JP"/>
        </w:rPr>
      </w:pPr>
      <w:bookmarkStart w:id="1" w:name="_Toc52534925"/>
      <w:bookmarkStart w:id="2" w:name="_Toc46494031"/>
      <w:bookmarkStart w:id="3" w:name="_Toc37236868"/>
      <w:bookmarkStart w:id="4" w:name="_Toc37152931"/>
      <w:bookmarkStart w:id="5" w:name="_Toc29241462"/>
      <w:r w:rsidRPr="008673AC">
        <w:rPr>
          <w:i/>
          <w:iCs/>
        </w:rPr>
        <w:t>4.3.19.17</w:t>
      </w:r>
      <w:r w:rsidRPr="008673AC">
        <w:rPr>
          <w:i/>
          <w:iCs/>
        </w:rPr>
        <w:tab/>
        <w:t>directSCellActivation-r15</w:t>
      </w:r>
      <w:bookmarkEnd w:id="1"/>
      <w:bookmarkEnd w:id="2"/>
      <w:bookmarkEnd w:id="3"/>
      <w:bookmarkEnd w:id="4"/>
      <w:bookmarkEnd w:id="5"/>
    </w:p>
    <w:p w14:paraId="2790A299" w14:textId="77777777" w:rsidR="002A4AC1" w:rsidRPr="008673AC" w:rsidRDefault="002A4AC1" w:rsidP="002A4AC1">
      <w:pPr>
        <w:rPr>
          <w:i/>
          <w:iCs/>
        </w:rPr>
      </w:pPr>
      <w:r w:rsidRPr="008673AC">
        <w:rPr>
          <w:i/>
          <w:iCs/>
        </w:rPr>
        <w:t>This field defines whether the UE supports having an SCell configured in activated SCell state in the RRCConnectionReconfiguration message, as defined in TS 36.321 [4] and TS 36.331 [5].</w:t>
      </w:r>
    </w:p>
    <w:p w14:paraId="4E8BAFDF" w14:textId="022AB306" w:rsidR="002A4AC1" w:rsidRDefault="002A4AC1" w:rsidP="00F71582">
      <w:r>
        <w:t>As can be seen this capability does not differ whether the SCell is on MCG or SCG and is equally applicable for LTE DC and NE-DC.</w:t>
      </w:r>
    </w:p>
    <w:p w14:paraId="3B22B111" w14:textId="2B8DFC7A" w:rsidR="00144D37" w:rsidRDefault="00144D37" w:rsidP="00F71582">
      <w:r>
        <w:t>Addtionally when one check 36.321 (15.10.0) 5.13 it becomes clear that SCG handling was taken into account when discussing direct SCell activation:</w:t>
      </w:r>
    </w:p>
    <w:p w14:paraId="6E8C6AC9" w14:textId="77777777" w:rsidR="00144D37" w:rsidRDefault="00144D37" w:rsidP="00502572">
      <w:pPr>
        <w:pStyle w:val="Heading2"/>
        <w:pBdr>
          <w:top w:val="single" w:sz="4" w:space="1" w:color="auto"/>
          <w:left w:val="single" w:sz="4" w:space="4" w:color="auto"/>
          <w:bottom w:val="single" w:sz="4" w:space="1" w:color="auto"/>
          <w:right w:val="single" w:sz="4" w:space="4" w:color="auto"/>
        </w:pBdr>
        <w:rPr>
          <w:lang w:eastAsia="ja-JP"/>
        </w:rPr>
      </w:pPr>
      <w:bookmarkStart w:id="6" w:name="_Toc52535762"/>
      <w:bookmarkStart w:id="7" w:name="_Toc46523393"/>
      <w:bookmarkStart w:id="8" w:name="_Toc29242986"/>
      <w:r>
        <w:t>5.13</w:t>
      </w:r>
      <w:r>
        <w:tab/>
        <w:t>Activation/Deactivation of SCells</w:t>
      </w:r>
      <w:bookmarkEnd w:id="6"/>
      <w:bookmarkEnd w:id="7"/>
      <w:bookmarkEnd w:id="8"/>
    </w:p>
    <w:p w14:paraId="1BE98F04" w14:textId="77777777" w:rsidR="00144D37" w:rsidRDefault="00144D37" w:rsidP="00502572">
      <w:pPr>
        <w:pBdr>
          <w:top w:val="single" w:sz="4" w:space="1" w:color="auto"/>
          <w:left w:val="single" w:sz="4" w:space="4" w:color="auto"/>
          <w:bottom w:val="single" w:sz="4" w:space="1" w:color="auto"/>
          <w:right w:val="single" w:sz="4" w:space="4" w:color="auto"/>
        </w:pBdr>
      </w:pPr>
      <w:r>
        <w:t xml:space="preserve">If the </w:t>
      </w:r>
      <w:r>
        <w:rPr>
          <w:noProof/>
          <w:lang w:eastAsia="zh-CN"/>
        </w:rPr>
        <w:t>MAC entity</w:t>
      </w:r>
      <w:r>
        <w:t xml:space="preserve"> is configured with one or more SCells, the network may activate and deactivate the configured SCells. The SpCell is always activated. The network activates and deactivates the SCell(s) by sending Activation/Deactivation and/or Hibernation MAC control element(s) described in clause 6.1.3.8 and 6.1.3.15 respectively. Furthermore, the </w:t>
      </w:r>
      <w:r>
        <w:rPr>
          <w:noProof/>
          <w:lang w:eastAsia="zh-CN"/>
        </w:rPr>
        <w:t>MAC entity</w:t>
      </w:r>
      <w:r>
        <w:t xml:space="preserve"> maintains a </w:t>
      </w:r>
      <w:r>
        <w:rPr>
          <w:i/>
        </w:rPr>
        <w:t>sCellDeactivationTimer</w:t>
      </w:r>
      <w:r>
        <w:t xml:space="preserve"> timer per configured SCell (except the SCell configured with PUCCH/SPUCCH, if any) and deactivates the associated SCell upon its expiry. In case the </w:t>
      </w:r>
      <w:r>
        <w:rPr>
          <w:i/>
        </w:rPr>
        <w:lastRenderedPageBreak/>
        <w:t>sCellHibernationTimer</w:t>
      </w:r>
      <w:r>
        <w:t xml:space="preserve"> is configured, it takes priority over </w:t>
      </w:r>
      <w:r>
        <w:rPr>
          <w:i/>
        </w:rPr>
        <w:t>sCellDeactivationTimer</w:t>
      </w:r>
      <w:r>
        <w:t xml:space="preserve">. The same initial timer value applies to each instance of the </w:t>
      </w:r>
      <w:r>
        <w:rPr>
          <w:i/>
        </w:rPr>
        <w:t>sCellDeactivationTimer</w:t>
      </w:r>
      <w:r>
        <w:t xml:space="preserve"> and it is configured by RRC. The configured SCells are initially deactivated upon addition and after a handover unless the parameter </w:t>
      </w:r>
      <w:r>
        <w:rPr>
          <w:i/>
        </w:rPr>
        <w:t>sCellState</w:t>
      </w:r>
      <w:r>
        <w:t xml:space="preserve"> is set to </w:t>
      </w:r>
      <w:r>
        <w:rPr>
          <w:i/>
        </w:rPr>
        <w:t>activated</w:t>
      </w:r>
      <w:r>
        <w:t xml:space="preserve"> or </w:t>
      </w:r>
      <w:r>
        <w:rPr>
          <w:i/>
        </w:rPr>
        <w:t>dormant</w:t>
      </w:r>
      <w:r>
        <w:t xml:space="preserve"> for the SCell within RRC configuration. </w:t>
      </w:r>
      <w:r w:rsidRPr="00502572">
        <w:rPr>
          <w:highlight w:val="yellow"/>
        </w:rPr>
        <w:t xml:space="preserve">The configured SCG SCells are initially deactivated after a SCG change unless the parameter </w:t>
      </w:r>
      <w:r w:rsidRPr="00502572">
        <w:rPr>
          <w:i/>
          <w:highlight w:val="yellow"/>
        </w:rPr>
        <w:t>sCellState</w:t>
      </w:r>
      <w:r w:rsidRPr="00502572">
        <w:rPr>
          <w:highlight w:val="yellow"/>
        </w:rPr>
        <w:t xml:space="preserve"> is set to </w:t>
      </w:r>
      <w:r w:rsidRPr="00502572">
        <w:rPr>
          <w:i/>
          <w:highlight w:val="yellow"/>
        </w:rPr>
        <w:t>activated</w:t>
      </w:r>
      <w:r w:rsidRPr="00502572">
        <w:rPr>
          <w:highlight w:val="yellow"/>
        </w:rPr>
        <w:t xml:space="preserve"> or </w:t>
      </w:r>
      <w:r w:rsidRPr="00502572">
        <w:rPr>
          <w:i/>
          <w:highlight w:val="yellow"/>
        </w:rPr>
        <w:t>dormant</w:t>
      </w:r>
      <w:r w:rsidRPr="00502572">
        <w:rPr>
          <w:highlight w:val="yellow"/>
        </w:rPr>
        <w:t xml:space="preserve"> for the SCell within RRC configuration</w:t>
      </w:r>
      <w:r>
        <w:t>.</w:t>
      </w:r>
    </w:p>
    <w:p w14:paraId="12EEF753" w14:textId="2DF06024" w:rsidR="002A4AC1" w:rsidRDefault="002A4AC1" w:rsidP="00F71582">
      <w:r>
        <w:rPr>
          <w:b/>
          <w:bCs/>
        </w:rPr>
        <w:t xml:space="preserve">Observation 1: </w:t>
      </w:r>
      <w:r>
        <w:t xml:space="preserve">release 15 LTE capability for direct SCell activation is applicable for both MCG and SCG regardless of DC mode </w:t>
      </w:r>
      <w:r w:rsidR="000E3FFF">
        <w:t xml:space="preserve"> (NR or LTE being MCG)</w:t>
      </w:r>
    </w:p>
    <w:p w14:paraId="74E44B1D" w14:textId="2B72F643" w:rsidR="002A4AC1" w:rsidRPr="002A4AC1" w:rsidRDefault="000E3FFF" w:rsidP="00F71582">
      <w:r>
        <w:t xml:space="preserve">During the email discussion </w:t>
      </w:r>
      <w:r w:rsidRPr="00343E56">
        <w:t>[AT111-e][210][DCCA] Other DCCA Corrections</w:t>
      </w:r>
      <w:r>
        <w:t xml:space="preserve"> following comments were given:</w:t>
      </w:r>
    </w:p>
    <w:p w14:paraId="0B63CED3" w14:textId="77777777" w:rsidR="000E3FFF" w:rsidRPr="000E3FFF" w:rsidRDefault="00974D83" w:rsidP="000E3FFF">
      <w:pPr>
        <w:pStyle w:val="Doc-title"/>
        <w:rPr>
          <w:i/>
          <w:iCs/>
        </w:rPr>
      </w:pPr>
      <w:hyperlink r:id="rId15" w:history="1">
        <w:r w:rsidR="000E3FFF" w:rsidRPr="000E3FFF">
          <w:rPr>
            <w:rStyle w:val="Hyperlink"/>
            <w:i/>
            <w:iCs/>
          </w:rPr>
          <w:t>R2-2006562</w:t>
        </w:r>
      </w:hyperlink>
      <w:r w:rsidR="000E3FFF" w:rsidRPr="000E3FFF">
        <w:rPr>
          <w:i/>
          <w:iCs/>
        </w:rPr>
        <w:t>    CR to 36.306 on UE capability of direct SCell activation      Qualcomm Incorporated CR        Rel-16   36.306  16.1.0   1776     -           F          LTE_NR_DC_CA_enh-Core</w:t>
      </w:r>
    </w:p>
    <w:p w14:paraId="0F021AA5" w14:textId="77777777" w:rsidR="000E3FFF" w:rsidRPr="000E3FFF" w:rsidRDefault="000E3FFF" w:rsidP="000E3FFF">
      <w:pPr>
        <w:pStyle w:val="Doc-text2"/>
        <w:rPr>
          <w:i/>
          <w:iCs/>
        </w:rPr>
      </w:pPr>
      <w:r w:rsidRPr="000E3FFF">
        <w:rPr>
          <w:i/>
          <w:iCs/>
        </w:rPr>
        <w:t>(moved from 6.8.3.1)</w:t>
      </w:r>
    </w:p>
    <w:tbl>
      <w:tblPr>
        <w:tblStyle w:val="TableGrid"/>
        <w:tblW w:w="0" w:type="auto"/>
        <w:tblLook w:val="04A0" w:firstRow="1" w:lastRow="0" w:firstColumn="1" w:lastColumn="0" w:noHBand="0" w:noVBand="1"/>
      </w:tblPr>
      <w:tblGrid>
        <w:gridCol w:w="1438"/>
        <w:gridCol w:w="1392"/>
        <w:gridCol w:w="6799"/>
      </w:tblGrid>
      <w:tr w:rsidR="000E3FFF" w:rsidRPr="000E3FFF" w14:paraId="42C4EA38" w14:textId="77777777" w:rsidTr="00625B7E">
        <w:tc>
          <w:tcPr>
            <w:tcW w:w="1438" w:type="dxa"/>
            <w:shd w:val="clear" w:color="auto" w:fill="BFBFBF" w:themeFill="background1" w:themeFillShade="BF"/>
            <w:vAlign w:val="center"/>
          </w:tcPr>
          <w:p w14:paraId="5EC4E2F0" w14:textId="77777777" w:rsidR="000E3FFF" w:rsidRPr="000E3FFF" w:rsidRDefault="000E3FFF" w:rsidP="00625B7E">
            <w:pPr>
              <w:pStyle w:val="BodyText"/>
              <w:jc w:val="center"/>
              <w:rPr>
                <w:i/>
                <w:iCs/>
                <w:sz w:val="20"/>
                <w:szCs w:val="20"/>
              </w:rPr>
            </w:pPr>
            <w:r w:rsidRPr="000E3FFF">
              <w:rPr>
                <w:i/>
                <w:iCs/>
                <w:sz w:val="20"/>
                <w:szCs w:val="20"/>
              </w:rPr>
              <w:t>Company</w:t>
            </w:r>
          </w:p>
        </w:tc>
        <w:tc>
          <w:tcPr>
            <w:tcW w:w="1392" w:type="dxa"/>
            <w:shd w:val="clear" w:color="auto" w:fill="BFBFBF" w:themeFill="background1" w:themeFillShade="BF"/>
          </w:tcPr>
          <w:p w14:paraId="4242F777" w14:textId="77777777" w:rsidR="000E3FFF" w:rsidRPr="000E3FFF" w:rsidRDefault="000E3FFF" w:rsidP="00625B7E">
            <w:pPr>
              <w:pStyle w:val="BodyText"/>
              <w:jc w:val="center"/>
              <w:rPr>
                <w:i/>
                <w:iCs/>
                <w:sz w:val="20"/>
                <w:szCs w:val="20"/>
                <w:lang w:val="en-GB"/>
              </w:rPr>
            </w:pPr>
            <w:r w:rsidRPr="000E3FFF">
              <w:rPr>
                <w:i/>
                <w:iCs/>
                <w:sz w:val="20"/>
                <w:szCs w:val="20"/>
                <w:lang w:val="en-GB"/>
              </w:rPr>
              <w:t>Agree CR?</w:t>
            </w:r>
            <w:r w:rsidRPr="000E3FFF">
              <w:rPr>
                <w:i/>
                <w:iCs/>
                <w:sz w:val="20"/>
                <w:szCs w:val="20"/>
                <w:lang w:val="en-GB"/>
              </w:rPr>
              <w:br/>
              <w:t>(Yes or No)</w:t>
            </w:r>
          </w:p>
        </w:tc>
        <w:tc>
          <w:tcPr>
            <w:tcW w:w="6799" w:type="dxa"/>
            <w:shd w:val="clear" w:color="auto" w:fill="BFBFBF" w:themeFill="background1" w:themeFillShade="BF"/>
            <w:vAlign w:val="center"/>
          </w:tcPr>
          <w:p w14:paraId="1E1C67C0" w14:textId="77777777" w:rsidR="000E3FFF" w:rsidRPr="000E3FFF" w:rsidRDefault="000E3FFF" w:rsidP="00625B7E">
            <w:pPr>
              <w:pStyle w:val="BodyText"/>
              <w:jc w:val="center"/>
              <w:rPr>
                <w:i/>
                <w:iCs/>
                <w:sz w:val="20"/>
                <w:szCs w:val="20"/>
              </w:rPr>
            </w:pPr>
            <w:r w:rsidRPr="000E3FFF">
              <w:rPr>
                <w:i/>
                <w:iCs/>
                <w:sz w:val="20"/>
                <w:szCs w:val="20"/>
              </w:rPr>
              <w:t>Comments</w:t>
            </w:r>
          </w:p>
        </w:tc>
      </w:tr>
      <w:tr w:rsidR="000E3FFF" w:rsidRPr="000E3FFF" w14:paraId="01694593" w14:textId="77777777" w:rsidTr="00625B7E">
        <w:tc>
          <w:tcPr>
            <w:tcW w:w="1438" w:type="dxa"/>
            <w:vAlign w:val="center"/>
          </w:tcPr>
          <w:p w14:paraId="175A4C66" w14:textId="77777777" w:rsidR="000E3FFF" w:rsidRPr="000E3FFF" w:rsidRDefault="000E3FFF" w:rsidP="00625B7E">
            <w:pPr>
              <w:jc w:val="center"/>
              <w:rPr>
                <w:i/>
                <w:iCs/>
                <w:sz w:val="20"/>
                <w:szCs w:val="20"/>
              </w:rPr>
            </w:pPr>
            <w:r w:rsidRPr="000E3FFF">
              <w:rPr>
                <w:i/>
                <w:iCs/>
                <w:sz w:val="20"/>
                <w:szCs w:val="20"/>
              </w:rPr>
              <w:t>Ericsson</w:t>
            </w:r>
          </w:p>
        </w:tc>
        <w:tc>
          <w:tcPr>
            <w:tcW w:w="1392" w:type="dxa"/>
          </w:tcPr>
          <w:p w14:paraId="7E31A7AA" w14:textId="77777777" w:rsidR="000E3FFF" w:rsidRPr="000E3FFF" w:rsidRDefault="000E3FFF" w:rsidP="00625B7E">
            <w:pPr>
              <w:rPr>
                <w:i/>
                <w:iCs/>
                <w:sz w:val="20"/>
                <w:szCs w:val="20"/>
              </w:rPr>
            </w:pPr>
            <w:r w:rsidRPr="000E3FFF">
              <w:rPr>
                <w:i/>
                <w:iCs/>
                <w:sz w:val="20"/>
                <w:szCs w:val="20"/>
              </w:rPr>
              <w:t>Not sure</w:t>
            </w:r>
          </w:p>
        </w:tc>
        <w:tc>
          <w:tcPr>
            <w:tcW w:w="6799" w:type="dxa"/>
            <w:vAlign w:val="center"/>
          </w:tcPr>
          <w:p w14:paraId="51FA10F4" w14:textId="77777777" w:rsidR="000E3FFF" w:rsidRPr="000E3FFF" w:rsidRDefault="000E3FFF" w:rsidP="00625B7E">
            <w:pPr>
              <w:rPr>
                <w:i/>
                <w:iCs/>
                <w:sz w:val="20"/>
                <w:szCs w:val="20"/>
                <w:lang w:val="en-GB"/>
              </w:rPr>
            </w:pPr>
            <w:r w:rsidRPr="000E3FFF">
              <w:rPr>
                <w:i/>
                <w:iCs/>
                <w:lang w:val="en-GB"/>
              </w:rPr>
              <w:t xml:space="preserve">We are not sure this is needed as the current directSCellActivation-r15 could cover also the case of SCG SCell in NE-DC. It is not limited to MCG according to current description. </w:t>
            </w:r>
          </w:p>
        </w:tc>
      </w:tr>
      <w:tr w:rsidR="000E3FFF" w:rsidRPr="000E3FFF" w14:paraId="308A443F" w14:textId="77777777" w:rsidTr="00625B7E">
        <w:tc>
          <w:tcPr>
            <w:tcW w:w="1438" w:type="dxa"/>
            <w:vAlign w:val="center"/>
          </w:tcPr>
          <w:p w14:paraId="3E9EBF37" w14:textId="77777777" w:rsidR="000E3FFF" w:rsidRPr="000E3FFF" w:rsidRDefault="000E3FFF" w:rsidP="00625B7E">
            <w:pPr>
              <w:jc w:val="center"/>
              <w:rPr>
                <w:i/>
                <w:iCs/>
                <w:sz w:val="20"/>
                <w:szCs w:val="20"/>
              </w:rPr>
            </w:pPr>
            <w:r w:rsidRPr="000E3FFF">
              <w:rPr>
                <w:i/>
                <w:iCs/>
                <w:sz w:val="20"/>
                <w:szCs w:val="20"/>
              </w:rPr>
              <w:t>MediaTek</w:t>
            </w:r>
          </w:p>
        </w:tc>
        <w:tc>
          <w:tcPr>
            <w:tcW w:w="1392" w:type="dxa"/>
          </w:tcPr>
          <w:p w14:paraId="6B1A7E44" w14:textId="77777777" w:rsidR="000E3FFF" w:rsidRPr="000E3FFF" w:rsidRDefault="000E3FFF" w:rsidP="00625B7E">
            <w:pPr>
              <w:rPr>
                <w:i/>
                <w:iCs/>
                <w:sz w:val="20"/>
                <w:szCs w:val="20"/>
              </w:rPr>
            </w:pPr>
            <w:r w:rsidRPr="000E3FFF">
              <w:rPr>
                <w:i/>
                <w:iCs/>
                <w:sz w:val="20"/>
                <w:szCs w:val="20"/>
              </w:rPr>
              <w:t xml:space="preserve">Yes with comment </w:t>
            </w:r>
          </w:p>
        </w:tc>
        <w:tc>
          <w:tcPr>
            <w:tcW w:w="6799" w:type="dxa"/>
            <w:vAlign w:val="center"/>
          </w:tcPr>
          <w:p w14:paraId="726AE179" w14:textId="77777777" w:rsidR="000E3FFF" w:rsidRPr="000E3FFF" w:rsidRDefault="000E3FFF" w:rsidP="00625B7E">
            <w:pPr>
              <w:rPr>
                <w:i/>
                <w:iCs/>
                <w:sz w:val="20"/>
                <w:szCs w:val="20"/>
                <w:lang w:val="en-GB"/>
              </w:rPr>
            </w:pPr>
            <w:r w:rsidRPr="000E3FFF">
              <w:rPr>
                <w:i/>
                <w:iCs/>
                <w:sz w:val="20"/>
                <w:szCs w:val="20"/>
                <w:lang w:val="en-GB"/>
              </w:rPr>
              <w:t xml:space="preserve">The directSCellActivation-r15 is introduced in LTE euCA WI while the NE-DC architecture is introduced with NR new RAT. We don’t think the original intention of directSCellActivation-r15 already cover E-UTRA SCG SCell. Therefore it would reasonable to have separate capability for this. </w:t>
            </w:r>
          </w:p>
          <w:p w14:paraId="0958D905" w14:textId="77777777" w:rsidR="000E3FFF" w:rsidRPr="000E3FFF" w:rsidRDefault="000E3FFF" w:rsidP="00625B7E">
            <w:pPr>
              <w:rPr>
                <w:i/>
                <w:iCs/>
                <w:sz w:val="20"/>
                <w:szCs w:val="20"/>
                <w:lang w:val="en-GB"/>
              </w:rPr>
            </w:pPr>
            <w:r w:rsidRPr="000E3FFF">
              <w:rPr>
                <w:i/>
                <w:iCs/>
                <w:sz w:val="20"/>
                <w:szCs w:val="20"/>
                <w:lang w:val="en-GB"/>
              </w:rPr>
              <w:t xml:space="preserve">This has been discussed during the introduction of R16 DCCA capability but it is left as it is since it also related to R15. With that, we think that if we want to have this capability, it is better to started with R15. Therefore, we would suggest move this discussion to R15 AI or R16 general AI if companies willing to continues the discussion. </w:t>
            </w:r>
          </w:p>
        </w:tc>
      </w:tr>
      <w:tr w:rsidR="000E3FFF" w:rsidRPr="000E3FFF" w14:paraId="35421301" w14:textId="77777777" w:rsidTr="00625B7E">
        <w:tc>
          <w:tcPr>
            <w:tcW w:w="1438" w:type="dxa"/>
            <w:vAlign w:val="center"/>
          </w:tcPr>
          <w:p w14:paraId="4368FDE7" w14:textId="77777777" w:rsidR="000E3FFF" w:rsidRPr="000E3FFF" w:rsidRDefault="000E3FFF" w:rsidP="00625B7E">
            <w:pPr>
              <w:jc w:val="center"/>
              <w:rPr>
                <w:i/>
                <w:iCs/>
                <w:sz w:val="20"/>
                <w:szCs w:val="20"/>
              </w:rPr>
            </w:pPr>
            <w:r w:rsidRPr="000E3FFF">
              <w:rPr>
                <w:i/>
                <w:iCs/>
                <w:sz w:val="20"/>
                <w:szCs w:val="20"/>
              </w:rPr>
              <w:t>ZTE</w:t>
            </w:r>
          </w:p>
        </w:tc>
        <w:tc>
          <w:tcPr>
            <w:tcW w:w="1392" w:type="dxa"/>
          </w:tcPr>
          <w:p w14:paraId="2DE158AB" w14:textId="77777777" w:rsidR="000E3FFF" w:rsidRPr="000E3FFF" w:rsidRDefault="000E3FFF" w:rsidP="00625B7E">
            <w:pPr>
              <w:rPr>
                <w:i/>
                <w:iCs/>
                <w:sz w:val="20"/>
                <w:szCs w:val="20"/>
              </w:rPr>
            </w:pPr>
            <w:r w:rsidRPr="000E3FFF">
              <w:rPr>
                <w:i/>
                <w:iCs/>
                <w:sz w:val="20"/>
                <w:szCs w:val="20"/>
              </w:rPr>
              <w:t>Not sure</w:t>
            </w:r>
          </w:p>
        </w:tc>
        <w:tc>
          <w:tcPr>
            <w:tcW w:w="6799" w:type="dxa"/>
            <w:vAlign w:val="center"/>
          </w:tcPr>
          <w:p w14:paraId="3913521E" w14:textId="77777777" w:rsidR="000E3FFF" w:rsidRPr="000E3FFF" w:rsidRDefault="000E3FFF" w:rsidP="00625B7E">
            <w:pPr>
              <w:rPr>
                <w:i/>
                <w:iCs/>
                <w:sz w:val="20"/>
                <w:szCs w:val="20"/>
                <w:lang w:val="en-GB"/>
              </w:rPr>
            </w:pPr>
            <w:r w:rsidRPr="000E3FFF">
              <w:rPr>
                <w:i/>
                <w:iCs/>
                <w:sz w:val="20"/>
                <w:szCs w:val="20"/>
                <w:lang w:val="en-GB"/>
              </w:rPr>
              <w:t xml:space="preserve">We also think directSCellActivation-r15 can be used to cover both MCG SCell and SCG SCell. But if majority companies think a separate bit is needed, we would be fine with it.  </w:t>
            </w:r>
          </w:p>
        </w:tc>
      </w:tr>
      <w:tr w:rsidR="000E3FFF" w:rsidRPr="000E3FFF" w14:paraId="357C0A83" w14:textId="77777777" w:rsidTr="00625B7E">
        <w:tc>
          <w:tcPr>
            <w:tcW w:w="1438" w:type="dxa"/>
            <w:vAlign w:val="center"/>
          </w:tcPr>
          <w:p w14:paraId="42DFD97E" w14:textId="77777777" w:rsidR="000E3FFF" w:rsidRPr="000E3FFF" w:rsidRDefault="000E3FFF" w:rsidP="00625B7E">
            <w:pPr>
              <w:jc w:val="center"/>
              <w:rPr>
                <w:i/>
                <w:iCs/>
                <w:sz w:val="20"/>
                <w:szCs w:val="20"/>
                <w:lang w:val="en-GB"/>
              </w:rPr>
            </w:pPr>
            <w:r w:rsidRPr="000E3FFF">
              <w:rPr>
                <w:i/>
                <w:iCs/>
                <w:sz w:val="20"/>
                <w:szCs w:val="20"/>
                <w:lang w:val="en-GB"/>
              </w:rPr>
              <w:t>Nokia</w:t>
            </w:r>
          </w:p>
        </w:tc>
        <w:tc>
          <w:tcPr>
            <w:tcW w:w="1392" w:type="dxa"/>
          </w:tcPr>
          <w:p w14:paraId="20A77F3B" w14:textId="77777777" w:rsidR="000E3FFF" w:rsidRPr="000E3FFF" w:rsidRDefault="000E3FFF" w:rsidP="00625B7E">
            <w:pPr>
              <w:rPr>
                <w:i/>
                <w:iCs/>
                <w:sz w:val="20"/>
                <w:szCs w:val="20"/>
                <w:lang w:val="en-GB"/>
              </w:rPr>
            </w:pPr>
          </w:p>
        </w:tc>
        <w:tc>
          <w:tcPr>
            <w:tcW w:w="6799" w:type="dxa"/>
            <w:vAlign w:val="center"/>
          </w:tcPr>
          <w:p w14:paraId="54C8C6B6" w14:textId="77777777" w:rsidR="000E3FFF" w:rsidRPr="000E3FFF" w:rsidRDefault="000E3FFF" w:rsidP="00625B7E">
            <w:pPr>
              <w:rPr>
                <w:i/>
                <w:iCs/>
                <w:sz w:val="20"/>
                <w:szCs w:val="20"/>
                <w:lang w:val="en-GB"/>
              </w:rPr>
            </w:pPr>
            <w:r w:rsidRPr="000E3FFF">
              <w:rPr>
                <w:i/>
                <w:iCs/>
                <w:sz w:val="20"/>
                <w:szCs w:val="20"/>
                <w:lang w:val="en-GB"/>
              </w:rPr>
              <w:t>Why wouldn’t r15 capability cover both MCG and SCG SCell? But anyway if majority see a need it is fine. Then Based on draft CR it seem LTE DC SCG is nto covered at all, is this intention?</w:t>
            </w:r>
          </w:p>
        </w:tc>
      </w:tr>
      <w:tr w:rsidR="000E3FFF" w:rsidRPr="000E3FFF" w14:paraId="12223E46" w14:textId="77777777" w:rsidTr="00625B7E">
        <w:tc>
          <w:tcPr>
            <w:tcW w:w="1438" w:type="dxa"/>
            <w:vAlign w:val="center"/>
          </w:tcPr>
          <w:p w14:paraId="72AC079F" w14:textId="77777777" w:rsidR="000E3FFF" w:rsidRPr="000E3FFF" w:rsidRDefault="000E3FFF" w:rsidP="00625B7E">
            <w:pPr>
              <w:jc w:val="center"/>
              <w:rPr>
                <w:i/>
                <w:iCs/>
                <w:sz w:val="20"/>
                <w:szCs w:val="20"/>
                <w:lang w:val="en-GB"/>
              </w:rPr>
            </w:pPr>
            <w:r w:rsidRPr="000E3FFF">
              <w:rPr>
                <w:i/>
                <w:iCs/>
                <w:sz w:val="20"/>
                <w:szCs w:val="20"/>
                <w:lang w:val="en-GB"/>
              </w:rPr>
              <w:t>Qualcomm</w:t>
            </w:r>
          </w:p>
        </w:tc>
        <w:tc>
          <w:tcPr>
            <w:tcW w:w="1392" w:type="dxa"/>
          </w:tcPr>
          <w:p w14:paraId="4CAD5C44" w14:textId="77777777" w:rsidR="000E3FFF" w:rsidRPr="000E3FFF" w:rsidRDefault="000E3FFF" w:rsidP="00625B7E">
            <w:pPr>
              <w:rPr>
                <w:i/>
                <w:iCs/>
                <w:sz w:val="20"/>
                <w:szCs w:val="20"/>
                <w:lang w:val="en-GB"/>
              </w:rPr>
            </w:pPr>
            <w:r w:rsidRPr="000E3FFF">
              <w:rPr>
                <w:i/>
                <w:iCs/>
                <w:sz w:val="20"/>
                <w:szCs w:val="20"/>
                <w:lang w:val="en-GB"/>
              </w:rPr>
              <w:t>Yes</w:t>
            </w:r>
          </w:p>
        </w:tc>
        <w:tc>
          <w:tcPr>
            <w:tcW w:w="6799" w:type="dxa"/>
            <w:vAlign w:val="center"/>
          </w:tcPr>
          <w:p w14:paraId="31B98022" w14:textId="77777777" w:rsidR="000E3FFF" w:rsidRPr="000E3FFF" w:rsidRDefault="000E3FFF" w:rsidP="00625B7E">
            <w:pPr>
              <w:rPr>
                <w:i/>
                <w:iCs/>
                <w:sz w:val="20"/>
                <w:szCs w:val="20"/>
                <w:lang w:val="en-GB"/>
              </w:rPr>
            </w:pPr>
            <w:r w:rsidRPr="000E3FFF">
              <w:rPr>
                <w:i/>
                <w:iCs/>
                <w:sz w:val="20"/>
                <w:szCs w:val="20"/>
                <w:lang w:val="en-GB"/>
              </w:rPr>
              <w:t>The intention is what MediaTek indicated: directSCellActivation-r15 was introduced in LTE euCA WI while the NE-DC architecture is introduced with NR new RAT. We don’t think the original intention of directSCellActivation-r15 already cover E-UTRA SCG SCell.</w:t>
            </w:r>
          </w:p>
          <w:p w14:paraId="3475739E" w14:textId="77777777" w:rsidR="000E3FFF" w:rsidRPr="000E3FFF" w:rsidRDefault="000E3FFF" w:rsidP="00625B7E">
            <w:pPr>
              <w:rPr>
                <w:i/>
                <w:iCs/>
                <w:sz w:val="20"/>
                <w:szCs w:val="20"/>
                <w:lang w:val="en-GB"/>
              </w:rPr>
            </w:pPr>
            <w:r w:rsidRPr="000E3FFF">
              <w:rPr>
                <w:i/>
                <w:iCs/>
                <w:sz w:val="20"/>
                <w:szCs w:val="20"/>
                <w:lang w:val="en-GB"/>
              </w:rPr>
              <w:t xml:space="preserve">With above clarification on intention, we think at least some clarifications are needed whether directSCellActivation-r15 can cover both MCG and SCG SCell. Our preference is to have a new capability to cover NE-DC case which is supported in Rel-17. However, for progress, if majority prefer not to introduce a new capability. It is acceptable for us considering NE-DC is not a popular MR-DC architecture. But if in that way, we do think the clarification is needed in spec that the old directSCellActivation-r15 covers both MCG and SCG SCell. </w:t>
            </w:r>
          </w:p>
          <w:p w14:paraId="18E13105" w14:textId="77777777" w:rsidR="000E3FFF" w:rsidRPr="000E3FFF" w:rsidRDefault="000E3FFF" w:rsidP="00625B7E">
            <w:pPr>
              <w:rPr>
                <w:i/>
                <w:iCs/>
                <w:sz w:val="20"/>
                <w:szCs w:val="20"/>
                <w:lang w:val="en-GB"/>
              </w:rPr>
            </w:pPr>
            <w:r w:rsidRPr="000E3FFF">
              <w:rPr>
                <w:i/>
                <w:iCs/>
                <w:sz w:val="20"/>
                <w:szCs w:val="20"/>
                <w:lang w:val="en-GB"/>
              </w:rPr>
              <w:t xml:space="preserve">For Nokia comments, it is not our intention to preclude LTE-DC. That is because we didn’t consider LTE-DC case which is not deployed anyway, when drafting the CR. We can update CR to include LTE-DC case if the new capability for NE-DC is agreed.  </w:t>
            </w:r>
          </w:p>
        </w:tc>
      </w:tr>
    </w:tbl>
    <w:p w14:paraId="3635B4E5" w14:textId="4BC3C337" w:rsidR="002A4AC1" w:rsidRDefault="000E3FFF" w:rsidP="000E3FFF">
      <w:pPr>
        <w:pStyle w:val="BodyText"/>
        <w:rPr>
          <w:i/>
          <w:iCs/>
          <w:lang w:val="en-GB"/>
        </w:rPr>
      </w:pPr>
      <w:r w:rsidRPr="000E3FFF">
        <w:rPr>
          <w:i/>
          <w:iCs/>
          <w:lang w:val="en-GB"/>
        </w:rPr>
        <w:t xml:space="preserve">Rapporteur summary: For this CR there were diverging views and it will require online time to conclude. 3 companies think the current directSCellActivation-r15 could be used to cover also the  </w:t>
      </w:r>
      <w:r w:rsidRPr="000E3FFF">
        <w:rPr>
          <w:i/>
          <w:iCs/>
          <w:lang w:val="en-GB"/>
        </w:rPr>
        <w:lastRenderedPageBreak/>
        <w:t xml:space="preserve">MSG SCell case. Two companies think this is not the case, and that it was specifically for the EUTRA-euCA case and cannot be applied to the NE-DC case. </w:t>
      </w:r>
    </w:p>
    <w:p w14:paraId="3024EE99" w14:textId="13E2205A" w:rsidR="000E3FFF" w:rsidRDefault="000E3FFF" w:rsidP="000E3FFF">
      <w:pPr>
        <w:pStyle w:val="BodyText"/>
        <w:rPr>
          <w:i/>
          <w:iCs/>
          <w:lang w:val="en-GB"/>
        </w:rPr>
      </w:pPr>
    </w:p>
    <w:p w14:paraId="406ADFD3" w14:textId="5CFC4E09" w:rsidR="00502572" w:rsidRDefault="000F2AA8" w:rsidP="000E3FFF">
      <w:pPr>
        <w:rPr>
          <w:iCs/>
        </w:rPr>
      </w:pPr>
      <w:r>
        <w:rPr>
          <w:iCs/>
        </w:rPr>
        <w:t>Changing this capability now would impact release-15 and is clearly not backward compatible thus such a change should not be done.</w:t>
      </w:r>
      <w:r w:rsidR="008E5A15">
        <w:rPr>
          <w:iCs/>
        </w:rPr>
        <w:t xml:space="preserve"> I</w:t>
      </w:r>
      <w:r w:rsidR="004C5E22">
        <w:rPr>
          <w:iCs/>
        </w:rPr>
        <w:t>t</w:t>
      </w:r>
      <w:r w:rsidR="008E5A15">
        <w:rPr>
          <w:iCs/>
        </w:rPr>
        <w:t xml:space="preserve">'s also not clear if there </w:t>
      </w:r>
      <w:r w:rsidR="004C5E22">
        <w:rPr>
          <w:iCs/>
        </w:rPr>
        <w:t>are any technical issues with the existing capability</w:t>
      </w:r>
      <w:r w:rsidR="00502572">
        <w:rPr>
          <w:iCs/>
        </w:rPr>
        <w:t xml:space="preserve"> as</w:t>
      </w:r>
      <w:r w:rsidR="004C5E22">
        <w:rPr>
          <w:iCs/>
        </w:rPr>
        <w:t xml:space="preserve"> SCell activation procedures themselves do not depend on whether CA or DC is configured</w:t>
      </w:r>
      <w:r w:rsidR="003B16E3">
        <w:rPr>
          <w:iCs/>
        </w:rPr>
        <w:t>.</w:t>
      </w:r>
    </w:p>
    <w:p w14:paraId="61AD4F15" w14:textId="228E193C" w:rsidR="00C16ACE" w:rsidRPr="00C16ACE" w:rsidRDefault="00C16ACE" w:rsidP="000E3FFF">
      <w:pPr>
        <w:rPr>
          <w:iCs/>
        </w:rPr>
      </w:pPr>
      <w:r>
        <w:rPr>
          <w:b/>
          <w:bCs/>
          <w:iCs/>
        </w:rPr>
        <w:t xml:space="preserve">Proposal 1: </w:t>
      </w:r>
      <w:r>
        <w:rPr>
          <w:iCs/>
        </w:rPr>
        <w:t>No need to update rel-15 direct scell activation capability as it is already clearly covering LTE being SCG</w:t>
      </w:r>
    </w:p>
    <w:p w14:paraId="5FF2457F" w14:textId="33F8B2DF" w:rsidR="00A209D6" w:rsidRPr="006E13D1" w:rsidRDefault="000007DD" w:rsidP="00A209D6">
      <w:pPr>
        <w:pStyle w:val="Heading1"/>
      </w:pPr>
      <w:r>
        <w:t>3</w:t>
      </w:r>
      <w:r w:rsidR="00A209D6" w:rsidRPr="006E13D1">
        <w:tab/>
      </w:r>
      <w:r w:rsidR="008C3057">
        <w:t>Conclusion</w:t>
      </w:r>
    </w:p>
    <w:p w14:paraId="7D4538BF" w14:textId="77777777" w:rsidR="00502572" w:rsidRPr="00C16ACE" w:rsidRDefault="00502572" w:rsidP="00502572">
      <w:pPr>
        <w:rPr>
          <w:iCs/>
        </w:rPr>
      </w:pPr>
      <w:r>
        <w:rPr>
          <w:b/>
          <w:bCs/>
          <w:iCs/>
        </w:rPr>
        <w:t xml:space="preserve">Proposal 1: </w:t>
      </w:r>
      <w:r>
        <w:rPr>
          <w:iCs/>
        </w:rPr>
        <w:t>No need to update rel-15 direct scell activation capability as it is already clearly covering LTE being SCG</w:t>
      </w:r>
    </w:p>
    <w:p w14:paraId="61493E73" w14:textId="77777777" w:rsidR="002A4AC1" w:rsidRPr="002A4AC1" w:rsidRDefault="002A4AC1" w:rsidP="002A4AC1"/>
    <w:sectPr w:rsidR="002A4AC1" w:rsidRPr="002A4AC1" w:rsidSect="00F7158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3E1304" w14:textId="77777777" w:rsidR="001576C4" w:rsidRDefault="001576C4">
      <w:r>
        <w:separator/>
      </w:r>
    </w:p>
  </w:endnote>
  <w:endnote w:type="continuationSeparator" w:id="0">
    <w:p w14:paraId="04A37108" w14:textId="77777777" w:rsidR="001576C4" w:rsidRDefault="001576C4">
      <w:r>
        <w:continuationSeparator/>
      </w:r>
    </w:p>
  </w:endnote>
  <w:endnote w:type="continuationNotice" w:id="1">
    <w:p w14:paraId="1CC20BA3" w14:textId="77777777" w:rsidR="001576C4" w:rsidRDefault="001576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6E9611" w14:textId="77777777" w:rsidR="001576C4" w:rsidRDefault="001576C4">
      <w:r>
        <w:separator/>
      </w:r>
    </w:p>
  </w:footnote>
  <w:footnote w:type="continuationSeparator" w:id="0">
    <w:p w14:paraId="7469C9FC" w14:textId="77777777" w:rsidR="001576C4" w:rsidRDefault="001576C4">
      <w:r>
        <w:continuationSeparator/>
      </w:r>
    </w:p>
  </w:footnote>
  <w:footnote w:type="continuationNotice" w:id="1">
    <w:p w14:paraId="7D173E75" w14:textId="77777777" w:rsidR="001576C4" w:rsidRDefault="001576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4C744DEB"/>
    <w:multiLevelType w:val="hybridMultilevel"/>
    <w:tmpl w:val="95FEBA2E"/>
    <w:lvl w:ilvl="0" w:tplc="040B0011">
      <w:start w:val="1"/>
      <w:numFmt w:val="decimal"/>
      <w:lvlText w:val="%1)"/>
      <w:lvlJc w:val="left"/>
      <w:pPr>
        <w:ind w:left="720" w:hanging="360"/>
      </w:pPr>
      <w:rPr>
        <w:rFonts w:hint="default"/>
      </w:rPr>
    </w:lvl>
    <w:lvl w:ilvl="1" w:tplc="FCF0480E">
      <w:start w:val="1"/>
      <w:numFmt w:val="lowerLetter"/>
      <w:lvlText w:val="%2)"/>
      <w:lvlJc w:val="left"/>
      <w:pPr>
        <w:ind w:left="1440" w:hanging="360"/>
      </w:pPr>
      <w:rPr>
        <w:rFonts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55B67580"/>
    <w:multiLevelType w:val="hybridMultilevel"/>
    <w:tmpl w:val="6B30A084"/>
    <w:lvl w:ilvl="0" w:tplc="18CE1282">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652875BC"/>
    <w:multiLevelType w:val="hybridMultilevel"/>
    <w:tmpl w:val="1506D580"/>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6C4018D8"/>
    <w:multiLevelType w:val="hybridMultilevel"/>
    <w:tmpl w:val="0A28D9EE"/>
    <w:lvl w:ilvl="0" w:tplc="AF689DB8">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6"/>
  </w:num>
  <w:num w:numId="8">
    <w:abstractNumId w:val="10"/>
  </w:num>
  <w:num w:numId="9">
    <w:abstractNumId w:val="9"/>
  </w:num>
  <w:num w:numId="10">
    <w:abstractNumId w:val="7"/>
  </w:num>
  <w:num w:numId="11">
    <w:abstractNumId w:val="8"/>
  </w:num>
  <w:num w:numId="12">
    <w:abstractNumId w:val="1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7DD"/>
    <w:rsid w:val="00016557"/>
    <w:rsid w:val="00022451"/>
    <w:rsid w:val="00023C40"/>
    <w:rsid w:val="00033397"/>
    <w:rsid w:val="00040095"/>
    <w:rsid w:val="00073C9C"/>
    <w:rsid w:val="00080512"/>
    <w:rsid w:val="00090468"/>
    <w:rsid w:val="00094568"/>
    <w:rsid w:val="000B7BCF"/>
    <w:rsid w:val="000C522B"/>
    <w:rsid w:val="000C786F"/>
    <w:rsid w:val="000D58AB"/>
    <w:rsid w:val="000E35DB"/>
    <w:rsid w:val="000E3FFF"/>
    <w:rsid w:val="000F2AA8"/>
    <w:rsid w:val="00112F1A"/>
    <w:rsid w:val="001342A1"/>
    <w:rsid w:val="00144D37"/>
    <w:rsid w:val="00145075"/>
    <w:rsid w:val="001576C4"/>
    <w:rsid w:val="001741A0"/>
    <w:rsid w:val="00175FA0"/>
    <w:rsid w:val="0018275D"/>
    <w:rsid w:val="00194CD0"/>
    <w:rsid w:val="001B49C9"/>
    <w:rsid w:val="001B4A79"/>
    <w:rsid w:val="001C23F4"/>
    <w:rsid w:val="001C4F79"/>
    <w:rsid w:val="001F168B"/>
    <w:rsid w:val="001F7831"/>
    <w:rsid w:val="00204045"/>
    <w:rsid w:val="0020712B"/>
    <w:rsid w:val="002163B4"/>
    <w:rsid w:val="0022606D"/>
    <w:rsid w:val="00231728"/>
    <w:rsid w:val="002361D7"/>
    <w:rsid w:val="00244A05"/>
    <w:rsid w:val="00250404"/>
    <w:rsid w:val="002610D8"/>
    <w:rsid w:val="002747EC"/>
    <w:rsid w:val="002855BF"/>
    <w:rsid w:val="002A4AC1"/>
    <w:rsid w:val="002D3EAF"/>
    <w:rsid w:val="002D4F46"/>
    <w:rsid w:val="002E2639"/>
    <w:rsid w:val="002F0D22"/>
    <w:rsid w:val="00311B17"/>
    <w:rsid w:val="00315D82"/>
    <w:rsid w:val="003172DC"/>
    <w:rsid w:val="00325AE3"/>
    <w:rsid w:val="00326069"/>
    <w:rsid w:val="003326E5"/>
    <w:rsid w:val="0035462D"/>
    <w:rsid w:val="0036459E"/>
    <w:rsid w:val="00364B41"/>
    <w:rsid w:val="00383096"/>
    <w:rsid w:val="0039346C"/>
    <w:rsid w:val="003A41EF"/>
    <w:rsid w:val="003B16E3"/>
    <w:rsid w:val="003B2FB4"/>
    <w:rsid w:val="003B40AD"/>
    <w:rsid w:val="003B4ABF"/>
    <w:rsid w:val="003C4A68"/>
    <w:rsid w:val="003C4E37"/>
    <w:rsid w:val="003E16BE"/>
    <w:rsid w:val="003E29DC"/>
    <w:rsid w:val="003F4E28"/>
    <w:rsid w:val="004006E8"/>
    <w:rsid w:val="00401855"/>
    <w:rsid w:val="00465587"/>
    <w:rsid w:val="00477455"/>
    <w:rsid w:val="00490F57"/>
    <w:rsid w:val="004A1F7B"/>
    <w:rsid w:val="004B332B"/>
    <w:rsid w:val="004C44D2"/>
    <w:rsid w:val="004C5E22"/>
    <w:rsid w:val="004D3578"/>
    <w:rsid w:val="004D380D"/>
    <w:rsid w:val="004E213A"/>
    <w:rsid w:val="005019FF"/>
    <w:rsid w:val="00502572"/>
    <w:rsid w:val="00503171"/>
    <w:rsid w:val="00506C28"/>
    <w:rsid w:val="00534DA0"/>
    <w:rsid w:val="00543E6C"/>
    <w:rsid w:val="00565087"/>
    <w:rsid w:val="0056573F"/>
    <w:rsid w:val="00571279"/>
    <w:rsid w:val="005A49C6"/>
    <w:rsid w:val="005F167D"/>
    <w:rsid w:val="00611566"/>
    <w:rsid w:val="00646D99"/>
    <w:rsid w:val="00656910"/>
    <w:rsid w:val="006574C0"/>
    <w:rsid w:val="00667ED4"/>
    <w:rsid w:val="00696821"/>
    <w:rsid w:val="006A49C8"/>
    <w:rsid w:val="006B4C68"/>
    <w:rsid w:val="006C66D8"/>
    <w:rsid w:val="006D181A"/>
    <w:rsid w:val="006D1E24"/>
    <w:rsid w:val="006D35DE"/>
    <w:rsid w:val="006E1417"/>
    <w:rsid w:val="006E4A89"/>
    <w:rsid w:val="006F6A2C"/>
    <w:rsid w:val="007069DC"/>
    <w:rsid w:val="00710201"/>
    <w:rsid w:val="0072073A"/>
    <w:rsid w:val="00720EF2"/>
    <w:rsid w:val="007342B5"/>
    <w:rsid w:val="00734A5B"/>
    <w:rsid w:val="00744E76"/>
    <w:rsid w:val="007516F7"/>
    <w:rsid w:val="00757D40"/>
    <w:rsid w:val="007662B5"/>
    <w:rsid w:val="007806F3"/>
    <w:rsid w:val="00781F0F"/>
    <w:rsid w:val="0078727C"/>
    <w:rsid w:val="0079049D"/>
    <w:rsid w:val="00793332"/>
    <w:rsid w:val="00793DC5"/>
    <w:rsid w:val="007B18D8"/>
    <w:rsid w:val="007C095F"/>
    <w:rsid w:val="007C2DD0"/>
    <w:rsid w:val="007C7B22"/>
    <w:rsid w:val="007F2E08"/>
    <w:rsid w:val="008028A4"/>
    <w:rsid w:val="00803C2F"/>
    <w:rsid w:val="008056F4"/>
    <w:rsid w:val="00813245"/>
    <w:rsid w:val="00840DE0"/>
    <w:rsid w:val="0086354A"/>
    <w:rsid w:val="008673AC"/>
    <w:rsid w:val="008768CA"/>
    <w:rsid w:val="00877EF9"/>
    <w:rsid w:val="00880559"/>
    <w:rsid w:val="00891175"/>
    <w:rsid w:val="008B5306"/>
    <w:rsid w:val="008C2E2A"/>
    <w:rsid w:val="008C3057"/>
    <w:rsid w:val="008C5C1E"/>
    <w:rsid w:val="008D2E4D"/>
    <w:rsid w:val="008E5A15"/>
    <w:rsid w:val="008F396F"/>
    <w:rsid w:val="008F3DCD"/>
    <w:rsid w:val="0090271F"/>
    <w:rsid w:val="00902DB9"/>
    <w:rsid w:val="0090466A"/>
    <w:rsid w:val="00923655"/>
    <w:rsid w:val="00936071"/>
    <w:rsid w:val="009376CD"/>
    <w:rsid w:val="00940212"/>
    <w:rsid w:val="00942EC2"/>
    <w:rsid w:val="009557A4"/>
    <w:rsid w:val="00961B32"/>
    <w:rsid w:val="00962509"/>
    <w:rsid w:val="00970DB3"/>
    <w:rsid w:val="00973177"/>
    <w:rsid w:val="00974BB0"/>
    <w:rsid w:val="00974D83"/>
    <w:rsid w:val="00975BCD"/>
    <w:rsid w:val="009928A9"/>
    <w:rsid w:val="009A0AF3"/>
    <w:rsid w:val="009B07CD"/>
    <w:rsid w:val="009B1D66"/>
    <w:rsid w:val="009C19E9"/>
    <w:rsid w:val="009D74A6"/>
    <w:rsid w:val="009E0E87"/>
    <w:rsid w:val="00A10F02"/>
    <w:rsid w:val="00A204CA"/>
    <w:rsid w:val="00A209D6"/>
    <w:rsid w:val="00A22738"/>
    <w:rsid w:val="00A4502C"/>
    <w:rsid w:val="00A53724"/>
    <w:rsid w:val="00A54B2B"/>
    <w:rsid w:val="00A653A3"/>
    <w:rsid w:val="00A82346"/>
    <w:rsid w:val="00A9671C"/>
    <w:rsid w:val="00AA1553"/>
    <w:rsid w:val="00B05380"/>
    <w:rsid w:val="00B05962"/>
    <w:rsid w:val="00B1517D"/>
    <w:rsid w:val="00B15449"/>
    <w:rsid w:val="00B16C2F"/>
    <w:rsid w:val="00B17471"/>
    <w:rsid w:val="00B21CA3"/>
    <w:rsid w:val="00B27303"/>
    <w:rsid w:val="00B35403"/>
    <w:rsid w:val="00B47FD1"/>
    <w:rsid w:val="00B516BB"/>
    <w:rsid w:val="00B84DB2"/>
    <w:rsid w:val="00BC309A"/>
    <w:rsid w:val="00BC3555"/>
    <w:rsid w:val="00BF4F96"/>
    <w:rsid w:val="00C12B51"/>
    <w:rsid w:val="00C16ACE"/>
    <w:rsid w:val="00C24650"/>
    <w:rsid w:val="00C25465"/>
    <w:rsid w:val="00C33079"/>
    <w:rsid w:val="00C55AF8"/>
    <w:rsid w:val="00C56DD1"/>
    <w:rsid w:val="00C6553E"/>
    <w:rsid w:val="00C718EA"/>
    <w:rsid w:val="00C83A13"/>
    <w:rsid w:val="00C9068C"/>
    <w:rsid w:val="00C9136B"/>
    <w:rsid w:val="00C92967"/>
    <w:rsid w:val="00C94513"/>
    <w:rsid w:val="00CA3D0C"/>
    <w:rsid w:val="00CA654B"/>
    <w:rsid w:val="00CB6C1D"/>
    <w:rsid w:val="00CB72B8"/>
    <w:rsid w:val="00CC255D"/>
    <w:rsid w:val="00CD4C7B"/>
    <w:rsid w:val="00CD58FE"/>
    <w:rsid w:val="00D275D3"/>
    <w:rsid w:val="00D33BE3"/>
    <w:rsid w:val="00D3792D"/>
    <w:rsid w:val="00D55E47"/>
    <w:rsid w:val="00D62E19"/>
    <w:rsid w:val="00D67CD1"/>
    <w:rsid w:val="00D70E67"/>
    <w:rsid w:val="00D738D6"/>
    <w:rsid w:val="00D80795"/>
    <w:rsid w:val="00D83E9D"/>
    <w:rsid w:val="00D854BE"/>
    <w:rsid w:val="00D87E00"/>
    <w:rsid w:val="00D9134D"/>
    <w:rsid w:val="00D96D11"/>
    <w:rsid w:val="00DA7A03"/>
    <w:rsid w:val="00DB0DB8"/>
    <w:rsid w:val="00DB1818"/>
    <w:rsid w:val="00DC12D8"/>
    <w:rsid w:val="00DC309B"/>
    <w:rsid w:val="00DC4DA2"/>
    <w:rsid w:val="00DC5261"/>
    <w:rsid w:val="00DD501A"/>
    <w:rsid w:val="00DE0980"/>
    <w:rsid w:val="00DE25D2"/>
    <w:rsid w:val="00DF1AB2"/>
    <w:rsid w:val="00E14710"/>
    <w:rsid w:val="00E46C08"/>
    <w:rsid w:val="00E471CF"/>
    <w:rsid w:val="00E62835"/>
    <w:rsid w:val="00E77645"/>
    <w:rsid w:val="00E83697"/>
    <w:rsid w:val="00EA057A"/>
    <w:rsid w:val="00EA66C9"/>
    <w:rsid w:val="00EB3058"/>
    <w:rsid w:val="00EC4A25"/>
    <w:rsid w:val="00EF612C"/>
    <w:rsid w:val="00F025A2"/>
    <w:rsid w:val="00F036E9"/>
    <w:rsid w:val="00F07388"/>
    <w:rsid w:val="00F161F7"/>
    <w:rsid w:val="00F16FD7"/>
    <w:rsid w:val="00F2026E"/>
    <w:rsid w:val="00F2210A"/>
    <w:rsid w:val="00F34877"/>
    <w:rsid w:val="00F37743"/>
    <w:rsid w:val="00F54A3D"/>
    <w:rsid w:val="00F54CB0"/>
    <w:rsid w:val="00F579CD"/>
    <w:rsid w:val="00F653B8"/>
    <w:rsid w:val="00F71582"/>
    <w:rsid w:val="00F71B89"/>
    <w:rsid w:val="00F7353C"/>
    <w:rsid w:val="00F76F8F"/>
    <w:rsid w:val="00F91058"/>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rsid w:val="007C7B22"/>
    <w:rPr>
      <w:sz w:val="16"/>
    </w:rPr>
  </w:style>
  <w:style w:type="paragraph" w:styleId="CommentText">
    <w:name w:val="annotation text"/>
    <w:basedOn w:val="Normal"/>
    <w:link w:val="CommentTextChar"/>
    <w:rsid w:val="007C7B22"/>
  </w:style>
  <w:style w:type="character" w:customStyle="1" w:styleId="CommentTextChar">
    <w:name w:val="Comment Text Char"/>
    <w:basedOn w:val="DefaultParagraphFont"/>
    <w:link w:val="CommentText"/>
    <w:rsid w:val="007C7B22"/>
    <w:rPr>
      <w:lang w:eastAsia="en-US"/>
    </w:rPr>
  </w:style>
  <w:style w:type="character" w:customStyle="1" w:styleId="THChar">
    <w:name w:val="TH Char"/>
    <w:link w:val="TH"/>
    <w:qFormat/>
    <w:rsid w:val="00D275D3"/>
    <w:rPr>
      <w:rFonts w:ascii="Arial" w:hAnsi="Arial"/>
      <w:b/>
      <w:lang w:eastAsia="en-US"/>
    </w:rPr>
  </w:style>
  <w:style w:type="character" w:customStyle="1" w:styleId="TALChar">
    <w:name w:val="TAL Char"/>
    <w:link w:val="TAL"/>
    <w:qFormat/>
    <w:rsid w:val="00D275D3"/>
    <w:rPr>
      <w:rFonts w:ascii="Arial" w:hAnsi="Arial"/>
      <w:sz w:val="18"/>
      <w:lang w:eastAsia="en-US"/>
    </w:rPr>
  </w:style>
  <w:style w:type="character" w:customStyle="1" w:styleId="TAHChar">
    <w:name w:val="TAH Char"/>
    <w:link w:val="TAH"/>
    <w:rsid w:val="00D275D3"/>
    <w:rPr>
      <w:rFonts w:ascii="Arial" w:hAnsi="Arial"/>
      <w:b/>
      <w:sz w:val="18"/>
      <w:lang w:eastAsia="en-US"/>
    </w:rPr>
  </w:style>
  <w:style w:type="paragraph" w:styleId="ListParagraph">
    <w:name w:val="List Paragraph"/>
    <w:basedOn w:val="Normal"/>
    <w:uiPriority w:val="34"/>
    <w:qFormat/>
    <w:rsid w:val="00891175"/>
    <w:pPr>
      <w:ind w:left="720"/>
      <w:contextualSpacing/>
    </w:pPr>
  </w:style>
  <w:style w:type="character" w:customStyle="1" w:styleId="TALCar">
    <w:name w:val="TAL Car"/>
    <w:basedOn w:val="DefaultParagraphFont"/>
    <w:qFormat/>
    <w:locked/>
    <w:rsid w:val="003326E5"/>
    <w:rPr>
      <w:rFonts w:ascii="Arial" w:eastAsiaTheme="minorEastAsia" w:hAnsi="Arial" w:cs="Arial"/>
      <w:sz w:val="18"/>
      <w:lang w:eastAsia="en-US"/>
    </w:rPr>
  </w:style>
  <w:style w:type="paragraph" w:styleId="CommentSubject">
    <w:name w:val="annotation subject"/>
    <w:basedOn w:val="CommentText"/>
    <w:next w:val="CommentText"/>
    <w:link w:val="CommentSubjectChar"/>
    <w:rsid w:val="008056F4"/>
    <w:rPr>
      <w:b/>
      <w:bCs/>
    </w:rPr>
  </w:style>
  <w:style w:type="character" w:customStyle="1" w:styleId="CommentSubjectChar">
    <w:name w:val="Comment Subject Char"/>
    <w:basedOn w:val="CommentTextChar"/>
    <w:link w:val="CommentSubject"/>
    <w:rsid w:val="008056F4"/>
    <w:rPr>
      <w:b/>
      <w:bCs/>
      <w:lang w:eastAsia="en-US"/>
    </w:rPr>
  </w:style>
  <w:style w:type="paragraph" w:customStyle="1" w:styleId="Doc-title">
    <w:name w:val="Doc-title"/>
    <w:basedOn w:val="Normal"/>
    <w:next w:val="Doc-text2"/>
    <w:link w:val="Doc-titleChar"/>
    <w:qFormat/>
    <w:rsid w:val="00F7158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F715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71582"/>
    <w:rPr>
      <w:rFonts w:ascii="Arial" w:eastAsia="MS Mincho" w:hAnsi="Arial"/>
      <w:szCs w:val="24"/>
    </w:rPr>
  </w:style>
  <w:style w:type="character" w:customStyle="1" w:styleId="Doc-titleChar">
    <w:name w:val="Doc-title Char"/>
    <w:link w:val="Doc-title"/>
    <w:qFormat/>
    <w:rsid w:val="00F71582"/>
    <w:rPr>
      <w:rFonts w:ascii="Arial" w:eastAsia="MS Mincho" w:hAnsi="Arial"/>
      <w:noProof/>
      <w:szCs w:val="24"/>
    </w:rPr>
  </w:style>
  <w:style w:type="paragraph" w:customStyle="1" w:styleId="Comments">
    <w:name w:val="Comments"/>
    <w:basedOn w:val="Normal"/>
    <w:link w:val="CommentsChar"/>
    <w:qFormat/>
    <w:rsid w:val="00F7158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F71582"/>
    <w:rPr>
      <w:rFonts w:ascii="Arial" w:eastAsia="MS Mincho" w:hAnsi="Arial"/>
      <w:i/>
      <w:noProof/>
      <w:sz w:val="18"/>
      <w:szCs w:val="24"/>
    </w:rPr>
  </w:style>
  <w:style w:type="paragraph" w:customStyle="1" w:styleId="Agreement">
    <w:name w:val="Agreement"/>
    <w:basedOn w:val="Normal"/>
    <w:next w:val="Doc-text2"/>
    <w:qFormat/>
    <w:rsid w:val="00F71582"/>
    <w:pPr>
      <w:numPr>
        <w:numId w:val="12"/>
      </w:numPr>
      <w:spacing w:before="60" w:after="0"/>
    </w:pPr>
    <w:rPr>
      <w:rFonts w:ascii="Arial" w:eastAsia="MS Mincho" w:hAnsi="Arial"/>
      <w:b/>
      <w:szCs w:val="24"/>
      <w:lang w:eastAsia="en-GB"/>
    </w:rPr>
  </w:style>
  <w:style w:type="paragraph" w:styleId="BodyText">
    <w:name w:val="Body Text"/>
    <w:basedOn w:val="Normal"/>
    <w:link w:val="BodyTextChar"/>
    <w:rsid w:val="000E3FFF"/>
    <w:pPr>
      <w:spacing w:after="120" w:line="259" w:lineRule="auto"/>
    </w:pPr>
    <w:rPr>
      <w:rFonts w:ascii="Arial" w:eastAsiaTheme="minorHAnsi" w:hAnsi="Arial" w:cstheme="minorBidi"/>
      <w:sz w:val="22"/>
      <w:szCs w:val="22"/>
      <w:lang w:val="fi-FI"/>
    </w:rPr>
  </w:style>
  <w:style w:type="character" w:customStyle="1" w:styleId="BodyTextChar">
    <w:name w:val="Body Text Char"/>
    <w:basedOn w:val="DefaultParagraphFont"/>
    <w:link w:val="BodyText"/>
    <w:rsid w:val="000E3FFF"/>
    <w:rPr>
      <w:rFonts w:ascii="Arial" w:eastAsiaTheme="minorHAnsi" w:hAnsi="Arial" w:cstheme="minorBidi"/>
      <w:sz w:val="22"/>
      <w:szCs w:val="22"/>
      <w:lang w:val="fi-FI" w:eastAsia="en-US"/>
    </w:rPr>
  </w:style>
  <w:style w:type="paragraph" w:customStyle="1" w:styleId="Proposal">
    <w:name w:val="Proposal"/>
    <w:basedOn w:val="BodyText"/>
    <w:rsid w:val="000E3FFF"/>
    <w:pPr>
      <w:numPr>
        <w:numId w:val="13"/>
      </w:numPr>
      <w:tabs>
        <w:tab w:val="clear" w:pos="1304"/>
        <w:tab w:val="left" w:pos="1701"/>
      </w:tabs>
      <w:ind w:left="1701" w:hanging="1701"/>
    </w:pPr>
    <w:rPr>
      <w:b/>
      <w:bCs/>
    </w:rPr>
  </w:style>
  <w:style w:type="table" w:styleId="TableGrid">
    <w:name w:val="Table Grid"/>
    <w:basedOn w:val="TableNormal"/>
    <w:uiPriority w:val="39"/>
    <w:rsid w:val="000E3FF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191768">
      <w:bodyDiv w:val="1"/>
      <w:marLeft w:val="0"/>
      <w:marRight w:val="0"/>
      <w:marTop w:val="0"/>
      <w:marBottom w:val="0"/>
      <w:divBdr>
        <w:top w:val="none" w:sz="0" w:space="0" w:color="auto"/>
        <w:left w:val="none" w:sz="0" w:space="0" w:color="auto"/>
        <w:bottom w:val="none" w:sz="0" w:space="0" w:color="auto"/>
        <w:right w:val="none" w:sz="0" w:space="0" w:color="auto"/>
      </w:divBdr>
    </w:div>
    <w:div w:id="72144091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9499585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71764754">
      <w:bodyDiv w:val="1"/>
      <w:marLeft w:val="0"/>
      <w:marRight w:val="0"/>
      <w:marTop w:val="0"/>
      <w:marBottom w:val="0"/>
      <w:divBdr>
        <w:top w:val="none" w:sz="0" w:space="0" w:color="auto"/>
        <w:left w:val="none" w:sz="0" w:space="0" w:color="auto"/>
        <w:bottom w:val="none" w:sz="0" w:space="0" w:color="auto"/>
        <w:right w:val="none" w:sz="0" w:space="0" w:color="auto"/>
      </w:divBdr>
    </w:div>
    <w:div w:id="1767379617">
      <w:bodyDiv w:val="1"/>
      <w:marLeft w:val="0"/>
      <w:marRight w:val="0"/>
      <w:marTop w:val="0"/>
      <w:marBottom w:val="0"/>
      <w:divBdr>
        <w:top w:val="none" w:sz="0" w:space="0" w:color="auto"/>
        <w:left w:val="none" w:sz="0" w:space="0" w:color="auto"/>
        <w:bottom w:val="none" w:sz="0" w:space="0" w:color="auto"/>
        <w:right w:val="none" w:sz="0" w:space="0" w:color="auto"/>
      </w:divBdr>
    </w:div>
    <w:div w:id="1829324153">
      <w:bodyDiv w:val="1"/>
      <w:marLeft w:val="0"/>
      <w:marRight w:val="0"/>
      <w:marTop w:val="0"/>
      <w:marBottom w:val="0"/>
      <w:divBdr>
        <w:top w:val="none" w:sz="0" w:space="0" w:color="auto"/>
        <w:left w:val="none" w:sz="0" w:space="0" w:color="auto"/>
        <w:bottom w:val="none" w:sz="0" w:space="0" w:color="auto"/>
        <w:right w:val="none" w:sz="0" w:space="0" w:color="auto"/>
      </w:divBdr>
    </w:div>
    <w:div w:id="1867255072">
      <w:bodyDiv w:val="1"/>
      <w:marLeft w:val="0"/>
      <w:marRight w:val="0"/>
      <w:marTop w:val="0"/>
      <w:marBottom w:val="0"/>
      <w:divBdr>
        <w:top w:val="none" w:sz="0" w:space="0" w:color="auto"/>
        <w:left w:val="none" w:sz="0" w:space="0" w:color="auto"/>
        <w:bottom w:val="none" w:sz="0" w:space="0" w:color="auto"/>
        <w:right w:val="none" w:sz="0" w:space="0" w:color="auto"/>
      </w:divBdr>
    </w:div>
    <w:div w:id="1916892121">
      <w:bodyDiv w:val="1"/>
      <w:marLeft w:val="0"/>
      <w:marRight w:val="0"/>
      <w:marTop w:val="0"/>
      <w:marBottom w:val="0"/>
      <w:divBdr>
        <w:top w:val="none" w:sz="0" w:space="0" w:color="auto"/>
        <w:left w:val="none" w:sz="0" w:space="0" w:color="auto"/>
        <w:bottom w:val="none" w:sz="0" w:space="0" w:color="auto"/>
        <w:right w:val="none" w:sz="0" w:space="0" w:color="auto"/>
      </w:divBdr>
    </w:div>
    <w:div w:id="1931424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11-e/Docs/R2-2006562.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tsg_ran/WG2_RL2//TSGR2_111-e/Docs//R2-2006562.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11-e/Docs/R2-200656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5AIRPNAIUNRU-859666464-7525</_dlc_DocId>
    <_dlc_DocIdUrl xmlns="71c5aaf6-e6ce-465b-b873-5148d2a4c105">
      <Url>https://nokia.sharepoint.com/sites/c5g/e2earch/_layouts/15/DocIdRedir.aspx?ID=5AIRPNAIUNRU-859666464-7525</Url>
      <Description>5AIRPNAIUNRU-859666464-7525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infopath/2007/PartnerControls"/>
    <ds:schemaRef ds:uri="http://schemas.microsoft.com/office/2006/metadata/properties"/>
    <ds:schemaRef ds:uri="http://purl.org/dc/terms/"/>
    <ds:schemaRef ds:uri="http://schemas.microsoft.com/office/2006/documentManagement/types"/>
    <ds:schemaRef ds:uri="http://purl.org/dc/elements/1.1/"/>
    <ds:schemaRef ds:uri="http://schemas.openxmlformats.org/package/2006/metadata/core-properties"/>
    <ds:schemaRef ds:uri="http://purl.org/dc/dcmitype/"/>
    <ds:schemaRef ds:uri="http://www.w3.org/XML/1998/namespace"/>
    <ds:schemaRef ds:uri="83f22d2f-d16e-4be6-ad4f-29fa0b067c3c"/>
    <ds:schemaRef ds:uri="a3840f4f-04be-43d1-b2ef-6ff1382503c7"/>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1F2E756-3933-492E-A01D-1C335096A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3</Pages>
  <Words>1021</Words>
  <Characters>5786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6794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Nokia_Jarkko</cp:lastModifiedBy>
  <cp:revision>15</cp:revision>
  <dcterms:created xsi:type="dcterms:W3CDTF">2020-10-14T06:44:00Z</dcterms:created>
  <dcterms:modified xsi:type="dcterms:W3CDTF">2020-10-22T06:04:00Z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8b193ec5-3037-4907-abf4-f5aedcc73b50</vt:lpwstr>
  </property>
</Properties>
</file>